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017" w:rsidRPr="00906E66" w:rsidRDefault="001D1017" w:rsidP="003D39BD">
      <w:pPr>
        <w:pStyle w:val="Heading2"/>
        <w:spacing w:before="0" w:after="0"/>
        <w:ind w:right="380"/>
        <w:jc w:val="both"/>
        <w:rPr>
          <w:rFonts w:ascii="Times New Roman" w:eastAsia="Calibri" w:hAnsi="Times New Roman" w:cs="Times New Roman"/>
          <w:noProof/>
          <w:color w:val="000000" w:themeColor="text1"/>
          <w:sz w:val="24"/>
          <w:szCs w:val="24"/>
        </w:rPr>
      </w:pPr>
      <w:r w:rsidRPr="00906E66">
        <w:rPr>
          <w:rFonts w:ascii="Times New Roman" w:eastAsia="Calibri" w:hAnsi="Times New Roman" w:cs="Times New Roman"/>
          <w:noProof/>
          <w:color w:val="000000" w:themeColor="text1"/>
          <w:sz w:val="24"/>
          <w:szCs w:val="24"/>
        </w:rPr>
        <w:t>Nr. înreg.12174/03.03.2026</w:t>
      </w:r>
    </w:p>
    <w:p w:rsidR="001D1017" w:rsidRPr="00906E66" w:rsidRDefault="001D1017" w:rsidP="00326A3A">
      <w:pPr>
        <w:pStyle w:val="Heading2"/>
        <w:spacing w:before="0" w:after="0"/>
        <w:jc w:val="center"/>
        <w:rPr>
          <w:rFonts w:eastAsia="Calibri"/>
          <w:noProof/>
          <w:sz w:val="24"/>
          <w:szCs w:val="24"/>
        </w:rPr>
      </w:pPr>
    </w:p>
    <w:p w:rsidR="001D1017" w:rsidRPr="00906E66" w:rsidRDefault="001D1017" w:rsidP="00326A3A">
      <w:pPr>
        <w:jc w:val="center"/>
        <w:rPr>
          <w:b/>
          <w:bCs/>
          <w:noProof/>
          <w:sz w:val="28"/>
          <w:szCs w:val="28"/>
        </w:rPr>
      </w:pPr>
      <w:r w:rsidRPr="00906E66">
        <w:rPr>
          <w:b/>
          <w:bCs/>
          <w:noProof/>
          <w:sz w:val="28"/>
          <w:szCs w:val="28"/>
        </w:rPr>
        <w:t>RAPORT DE SPECIALITATE</w:t>
      </w:r>
    </w:p>
    <w:p w:rsidR="001D1017" w:rsidRPr="00906E66" w:rsidRDefault="001D1017" w:rsidP="00326A3A">
      <w:pPr>
        <w:jc w:val="center"/>
        <w:rPr>
          <w:b/>
          <w:noProof/>
        </w:rPr>
      </w:pPr>
      <w:r w:rsidRPr="00906E66">
        <w:rPr>
          <w:b/>
          <w:snapToGrid w:val="0"/>
        </w:rPr>
        <w:t xml:space="preserve">pentru completarea HCL nr. 559/2025 privind </w:t>
      </w:r>
      <w:r w:rsidR="00326A3A">
        <w:rPr>
          <w:b/>
          <w:noProof/>
        </w:rPr>
        <w:t>încadrarea</w:t>
      </w:r>
      <w:r w:rsidRPr="00906E66">
        <w:rPr>
          <w:b/>
          <w:noProof/>
        </w:rPr>
        <w:t xml:space="preserve"> pe zone</w:t>
      </w:r>
    </w:p>
    <w:p w:rsidR="001D1017" w:rsidRPr="00906E66" w:rsidRDefault="00326A3A" w:rsidP="00326A3A">
      <w:pPr>
        <w:jc w:val="center"/>
        <w:rPr>
          <w:b/>
          <w:noProof/>
        </w:rPr>
      </w:pPr>
      <w:r>
        <w:rPr>
          <w:b/>
          <w:noProof/>
        </w:rPr>
        <w:t>fiscale a intravilanului</w:t>
      </w:r>
      <w:r w:rsidR="001D1017" w:rsidRPr="00906E66">
        <w:rPr>
          <w:b/>
          <w:noProof/>
        </w:rPr>
        <w:t xml:space="preserve"> municipiului Sfântu Gheorghe</w:t>
      </w:r>
    </w:p>
    <w:p w:rsidR="001D1017" w:rsidRPr="00906E66" w:rsidRDefault="001D1017" w:rsidP="00326A3A">
      <w:pPr>
        <w:tabs>
          <w:tab w:val="left" w:pos="8505"/>
        </w:tabs>
        <w:jc w:val="center"/>
        <w:rPr>
          <w:b/>
          <w:bCs/>
          <w:noProof/>
        </w:rPr>
      </w:pPr>
    </w:p>
    <w:p w:rsidR="001D1017" w:rsidRPr="00906E66" w:rsidRDefault="001D1017" w:rsidP="00326A3A">
      <w:pPr>
        <w:jc w:val="center"/>
        <w:rPr>
          <w:noProof/>
        </w:rPr>
      </w:pPr>
    </w:p>
    <w:p w:rsidR="001D1017" w:rsidRPr="00906E66" w:rsidRDefault="001D1017" w:rsidP="003D39BD">
      <w:pPr>
        <w:ind w:firstLine="720"/>
        <w:jc w:val="both"/>
        <w:rPr>
          <w:noProof/>
        </w:rPr>
      </w:pPr>
      <w:r w:rsidRPr="00906E66">
        <w:rPr>
          <w:noProof/>
        </w:rPr>
        <w:t xml:space="preserve">Intravilanul Municipiului </w:t>
      </w:r>
      <w:bookmarkStart w:id="0" w:name="_GoBack"/>
      <w:bookmarkEnd w:id="0"/>
      <w:r w:rsidRPr="00906E66">
        <w:rPr>
          <w:noProof/>
        </w:rPr>
        <w:t>Sfântu Gheorghe este delimitat pe patru zone fiscale. Încadrarea în una din cele patru zone s-a făcut având la bază criterii privind poziția străzii față de centrul municipiului sau față de zonele industriale, asigurarea serviciilor publice privind canalizarea menajeră și pluvială, iluminatul stradal, transportul în comun, starea infrastructurii de circulație, siguranța publică.</w:t>
      </w:r>
    </w:p>
    <w:p w:rsidR="001D1017" w:rsidRPr="00906E66" w:rsidRDefault="001D1017" w:rsidP="003D39BD">
      <w:pPr>
        <w:ind w:firstLine="720"/>
        <w:jc w:val="both"/>
        <w:rPr>
          <w:noProof/>
        </w:rPr>
      </w:pPr>
      <w:r w:rsidRPr="00906E66">
        <w:rPr>
          <w:noProof/>
        </w:rPr>
        <w:t>Reanalizând criteriile care au condus la propunerea de încadrare pe zone fiscale a intravilanului municipiului Sfântu Gheorghe și luând în considerare poziționarea parcelei  nr. 28A din str. Stadionului,   imposibilitatea accesului direct pe parcela menționată din str. Stadionului, faptul că lipsește iluminatul public,  lipsesc trotuarele  amenajate și canalizarea pluvială, etc.,  rezultă condiții diferite între diferite porțiuni ale străzii.</w:t>
      </w:r>
    </w:p>
    <w:p w:rsidR="001D1017" w:rsidRPr="00906E66" w:rsidRDefault="001D1017" w:rsidP="003D39BD">
      <w:pPr>
        <w:ind w:firstLine="720"/>
        <w:jc w:val="both"/>
        <w:rPr>
          <w:noProof/>
        </w:rPr>
      </w:pPr>
      <w:r w:rsidRPr="00906E66">
        <w:rPr>
          <w:noProof/>
        </w:rPr>
        <w:t xml:space="preserve"> Considerăm că se impune delimitarea unui nou tronson și modificarea punctajului, implicit încadrarea în zonă fiscală diferită a tronsonului respectiv.</w:t>
      </w:r>
    </w:p>
    <w:p w:rsidR="001D1017" w:rsidRPr="00906E66" w:rsidRDefault="001D1017" w:rsidP="003D39BD">
      <w:pPr>
        <w:ind w:firstLine="720"/>
        <w:jc w:val="both"/>
        <w:rPr>
          <w:noProof/>
        </w:rPr>
      </w:pPr>
      <w:r w:rsidRPr="00906E66">
        <w:rPr>
          <w:noProof/>
        </w:rPr>
        <w:t>Astfel, față de varianta inițială,  partea  respectivă din  stradă se propune a se încadra în zona fiscală C, conform punctaj.</w:t>
      </w:r>
    </w:p>
    <w:p w:rsidR="001D1017" w:rsidRPr="00906E66" w:rsidRDefault="001D1017" w:rsidP="003D39BD">
      <w:pPr>
        <w:ind w:firstLine="709"/>
        <w:jc w:val="both"/>
        <w:rPr>
          <w:noProof/>
        </w:rPr>
      </w:pPr>
      <w:r w:rsidRPr="00906E66">
        <w:rPr>
          <w:noProof/>
        </w:rPr>
        <w:t>Având în vedere că la 31 martie 2026 expiră  perioada în care pentru plata anticipată a impozitelor se acordă bonificații, pentru a nu defavoriza persoanele care doresc a beneficia de acordarea acestor bonificații considerăm că se impune aplicarea  prevederilor art. 7, alin (13) din Legea nr.52/2003 privind transparenţa decizională în administraţia publică, cu modificările și completările ulterioare, respectiv urgentarea procedurii de aprobare a hotărârii.</w:t>
      </w:r>
    </w:p>
    <w:p w:rsidR="001D1017" w:rsidRPr="00906E66" w:rsidRDefault="001D1017" w:rsidP="003D39BD">
      <w:pPr>
        <w:ind w:firstLine="720"/>
        <w:jc w:val="both"/>
        <w:rPr>
          <w:noProof/>
        </w:rPr>
      </w:pPr>
      <w:r w:rsidRPr="00906E66">
        <w:rPr>
          <w:noProof/>
        </w:rPr>
        <w:t xml:space="preserve">Luându-se în considerare cele de mai sus, propunem aprobarea modificării și completării Hotărârii Consiliului local nr. 559/2025 privind încadrarea  pe zone fiscale a intravilanului municipiului Sfântu Gheorghe în forma propusă.                                                                         </w:t>
      </w:r>
    </w:p>
    <w:p w:rsidR="001D1017" w:rsidRPr="00906E66" w:rsidRDefault="001D1017" w:rsidP="003D39BD">
      <w:pPr>
        <w:tabs>
          <w:tab w:val="left" w:pos="5387"/>
        </w:tabs>
        <w:ind w:right="380"/>
        <w:jc w:val="both"/>
        <w:rPr>
          <w:noProof/>
        </w:rPr>
      </w:pPr>
      <w:r w:rsidRPr="00906E66">
        <w:rPr>
          <w:noProof/>
        </w:rPr>
        <w:t xml:space="preserve">             </w:t>
      </w:r>
    </w:p>
    <w:p w:rsidR="001D1017" w:rsidRPr="00906E66" w:rsidRDefault="001D1017" w:rsidP="003D39BD">
      <w:pPr>
        <w:tabs>
          <w:tab w:val="left" w:pos="5387"/>
        </w:tabs>
        <w:ind w:right="380"/>
        <w:jc w:val="both"/>
        <w:rPr>
          <w:noProof/>
        </w:rPr>
      </w:pPr>
      <w:r w:rsidRPr="00906E66">
        <w:rPr>
          <w:noProof/>
        </w:rPr>
        <w:t xml:space="preserve">                                                               DIRECȚIA URBANISM                   </w:t>
      </w:r>
      <w:r w:rsidRPr="00906E66">
        <w:rPr>
          <w:noProof/>
        </w:rPr>
        <w:tab/>
        <w:t xml:space="preserve"> </w:t>
      </w:r>
    </w:p>
    <w:p w:rsidR="001D1017" w:rsidRPr="00906E66" w:rsidRDefault="001D1017" w:rsidP="003D39BD">
      <w:pPr>
        <w:tabs>
          <w:tab w:val="left" w:pos="5387"/>
        </w:tabs>
        <w:ind w:right="380"/>
        <w:jc w:val="both"/>
        <w:rPr>
          <w:noProof/>
        </w:rPr>
      </w:pPr>
      <w:r w:rsidRPr="00906E66">
        <w:rPr>
          <w:noProof/>
        </w:rPr>
        <w:t xml:space="preserve">                                                                                 </w:t>
      </w:r>
    </w:p>
    <w:p w:rsidR="001D1017" w:rsidRPr="00906E66" w:rsidRDefault="001D1017" w:rsidP="003D39BD">
      <w:pPr>
        <w:tabs>
          <w:tab w:val="left" w:pos="6521"/>
        </w:tabs>
        <w:ind w:left="709" w:right="380" w:firstLine="709"/>
        <w:jc w:val="both"/>
        <w:rPr>
          <w:noProof/>
        </w:rPr>
      </w:pPr>
      <w:r w:rsidRPr="00906E66">
        <w:rPr>
          <w:noProof/>
        </w:rPr>
        <w:t xml:space="preserve">                                               Arhitect șef,                                                         </w:t>
      </w:r>
    </w:p>
    <w:p w:rsidR="001D1017" w:rsidRPr="00906E66" w:rsidRDefault="001D1017" w:rsidP="003D39BD">
      <w:pPr>
        <w:tabs>
          <w:tab w:val="left" w:pos="6521"/>
        </w:tabs>
        <w:ind w:right="380"/>
        <w:jc w:val="both"/>
        <w:rPr>
          <w:b/>
          <w:noProof/>
        </w:rPr>
      </w:pPr>
      <w:r w:rsidRPr="00906E66">
        <w:rPr>
          <w:b/>
          <w:noProof/>
          <w:snapToGrid w:val="0"/>
        </w:rPr>
        <w:t xml:space="preserve">                                                              Berszán Ruxandra Carmen                                              </w:t>
      </w:r>
    </w:p>
    <w:p w:rsidR="001D1017" w:rsidRPr="00906E66" w:rsidRDefault="001D1017" w:rsidP="003D39BD">
      <w:pPr>
        <w:jc w:val="both"/>
      </w:pPr>
    </w:p>
    <w:p w:rsidR="001D1017" w:rsidRPr="00906E66" w:rsidRDefault="001D1017" w:rsidP="003D39BD">
      <w:pPr>
        <w:jc w:val="both"/>
      </w:pPr>
    </w:p>
    <w:p w:rsidR="00EC1A2D" w:rsidRDefault="00EC1A2D" w:rsidP="003D39BD"/>
    <w:sectPr w:rsidR="00EC1A2D" w:rsidSect="00E470DD">
      <w:pgSz w:w="11907" w:h="16840" w:code="9"/>
      <w:pgMar w:top="1135" w:right="992" w:bottom="85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97"/>
    <w:rsid w:val="00061BB1"/>
    <w:rsid w:val="001D1017"/>
    <w:rsid w:val="00326A3A"/>
    <w:rsid w:val="00346E7B"/>
    <w:rsid w:val="003D39BD"/>
    <w:rsid w:val="00B70C97"/>
    <w:rsid w:val="00DE721C"/>
    <w:rsid w:val="00EC1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B144B"/>
  <w15:chartTrackingRefBased/>
  <w15:docId w15:val="{99243807-F948-4962-9B2F-7BFD34848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017"/>
    <w:pPr>
      <w:spacing w:after="0" w:line="240" w:lineRule="auto"/>
    </w:pPr>
    <w:rPr>
      <w:rFonts w:ascii="Times New Roman" w:eastAsia="Times New Roman" w:hAnsi="Times New Roman" w:cs="Times New Roman"/>
      <w:sz w:val="24"/>
      <w:szCs w:val="24"/>
      <w14:ligatures w14:val="standardContextual"/>
    </w:rPr>
  </w:style>
  <w:style w:type="paragraph" w:styleId="Heading2">
    <w:name w:val="heading 2"/>
    <w:basedOn w:val="Normal"/>
    <w:next w:val="Normal"/>
    <w:link w:val="Heading2Char"/>
    <w:unhideWhenUsed/>
    <w:qFormat/>
    <w:rsid w:val="001D101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D1017"/>
    <w:rPr>
      <w:rFonts w:asciiTheme="majorHAnsi" w:eastAsiaTheme="majorEastAsia" w:hAnsiTheme="majorHAnsi" w:cstheme="majorBidi"/>
      <w:color w:val="2E74B5" w:themeColor="accent1" w:themeShade="BF"/>
      <w:sz w:val="32"/>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2200</Characters>
  <Application>Microsoft Office Word</Application>
  <DocSecurity>0</DocSecurity>
  <Lines>18</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Tunde</dc:creator>
  <cp:keywords/>
  <dc:description/>
  <cp:lastModifiedBy>Tunde</cp:lastModifiedBy>
  <cp:revision>4</cp:revision>
  <dcterms:created xsi:type="dcterms:W3CDTF">2026-03-05T07:08:00Z</dcterms:created>
  <dcterms:modified xsi:type="dcterms:W3CDTF">2026-03-05T07:24:00Z</dcterms:modified>
</cp:coreProperties>
</file>